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DFCBA" w14:textId="77777777" w:rsidR="00BE51F6" w:rsidRDefault="00BE51F6" w:rsidP="00BE51F6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51F6">
        <w:rPr>
          <w:rFonts w:ascii="Times New Roman" w:hAnsi="Times New Roman" w:cs="Times New Roman"/>
          <w:b/>
          <w:bCs/>
          <w:sz w:val="28"/>
          <w:szCs w:val="28"/>
        </w:rPr>
        <w:t>COMUNICARE</w:t>
      </w:r>
      <w:r w:rsidRPr="00BE51F6">
        <w:rPr>
          <w:rFonts w:ascii="Times New Roman" w:hAnsi="Times New Roman" w:cs="Times New Roman"/>
          <w:b/>
          <w:bCs/>
          <w:sz w:val="28"/>
          <w:szCs w:val="28"/>
        </w:rPr>
        <w:br/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referitoare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aplicarea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Legii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nr.361/2022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privind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protecția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avertizorilor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interes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public</w:t>
      </w:r>
    </w:p>
    <w:p w14:paraId="1C61173E" w14:textId="77777777" w:rsidR="00BE51F6" w:rsidRPr="00BE51F6" w:rsidRDefault="00BE51F6" w:rsidP="00BE51F6">
      <w:pPr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1A487B" w14:textId="7B6212AC" w:rsidR="00BE51F6" w:rsidRPr="00BE51F6" w:rsidRDefault="00BE51F6" w:rsidP="00BE51F6">
      <w:pPr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E51F6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Pr="00BE51F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Orice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persoană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care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este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încadrată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într-unul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din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compartimentele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de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specialitate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ale </w:t>
      </w:r>
      <w:bookmarkStart w:id="0" w:name="_Hlk152070893"/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Direcției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Agricultură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Județeană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Maramureș</w:t>
      </w:r>
      <w:bookmarkEnd w:id="0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foști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angajați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ai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instituției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, pot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transmite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informații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referitoare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încălcări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ale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legii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cadrul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bookmarkStart w:id="1" w:name="_Hlk152071085"/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Direcției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Agricultură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Județeană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Maramureș</w:t>
      </w:r>
      <w:bookmarkEnd w:id="1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prin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următoarele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canale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4856D3E7" w14:textId="77777777" w:rsidR="00BE51F6" w:rsidRDefault="00BE51F6" w:rsidP="00BE51F6">
      <w:pPr>
        <w:rPr>
          <w:rFonts w:ascii="Times New Roman" w:hAnsi="Times New Roman" w:cs="Times New Roman"/>
          <w:sz w:val="28"/>
          <w:szCs w:val="28"/>
        </w:rPr>
      </w:pPr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a)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scris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, pe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suport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hârtie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timpul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programului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activitate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desemnată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, </w:t>
      </w:r>
      <w:bookmarkStart w:id="2" w:name="_Hlk152071065"/>
      <w:r w:rsidRPr="00BE51F6">
        <w:rPr>
          <w:rFonts w:ascii="Times New Roman" w:hAnsi="Times New Roman" w:cs="Times New Roman"/>
          <w:sz w:val="28"/>
          <w:szCs w:val="28"/>
        </w:rPr>
        <w:t xml:space="preserve">Camera </w:t>
      </w:r>
      <w:r>
        <w:rPr>
          <w:rFonts w:ascii="Times New Roman" w:hAnsi="Times New Roman" w:cs="Times New Roman"/>
          <w:sz w:val="28"/>
          <w:szCs w:val="28"/>
        </w:rPr>
        <w:t>233</w:t>
      </w:r>
      <w:r w:rsidRPr="00BE51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Palatul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B</w:t>
      </w:r>
      <w:r>
        <w:rPr>
          <w:rFonts w:ascii="Times New Roman" w:hAnsi="Times New Roman" w:cs="Times New Roman"/>
          <w:sz w:val="28"/>
          <w:szCs w:val="28"/>
        </w:rPr>
        <w:t>aia Mare</w:t>
      </w:r>
      <w:r w:rsidRPr="00BE51F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str. Gheorghe </w:t>
      </w:r>
      <w:proofErr w:type="spellStart"/>
      <w:r>
        <w:rPr>
          <w:rFonts w:ascii="Times New Roman" w:hAnsi="Times New Roman" w:cs="Times New Roman"/>
          <w:sz w:val="28"/>
          <w:szCs w:val="28"/>
        </w:rPr>
        <w:t>Șincai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nr.46</w:t>
      </w:r>
      <w:bookmarkEnd w:id="2"/>
      <w:r w:rsidRPr="00BE51F6">
        <w:rPr>
          <w:rFonts w:ascii="Times New Roman" w:hAnsi="Times New Roman" w:cs="Times New Roman"/>
          <w:sz w:val="28"/>
          <w:szCs w:val="28"/>
        </w:rPr>
        <w:t>;</w:t>
      </w:r>
      <w:r w:rsidRPr="00BE51F6">
        <w:rPr>
          <w:rFonts w:ascii="Times New Roman" w:hAnsi="Times New Roman" w:cs="Times New Roman"/>
          <w:sz w:val="28"/>
          <w:szCs w:val="28"/>
        </w:rPr>
        <w:br/>
      </w:r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b)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scris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format electronic</w:t>
      </w:r>
      <w:r w:rsidRPr="00BE51F6">
        <w:rPr>
          <w:rFonts w:ascii="Times New Roman" w:hAnsi="Times New Roman" w:cs="Times New Roman"/>
          <w:sz w:val="28"/>
          <w:szCs w:val="28"/>
        </w:rPr>
        <w:t xml:space="preserve"> pe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adresa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de e-mail: </w:t>
      </w:r>
      <w:r>
        <w:rPr>
          <w:rFonts w:ascii="Times New Roman" w:hAnsi="Times New Roman" w:cs="Times New Roman"/>
          <w:sz w:val="28"/>
          <w:szCs w:val="28"/>
        </w:rPr>
        <w:t xml:space="preserve"> daniela.stenczel@madr.ro</w:t>
      </w:r>
      <w:r w:rsidRPr="00BE51F6">
        <w:rPr>
          <w:rFonts w:ascii="Times New Roman" w:hAnsi="Times New Roman" w:cs="Times New Roman"/>
          <w:sz w:val="28"/>
          <w:szCs w:val="28"/>
        </w:rPr>
        <w:br/>
      </w:r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c)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apelând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linia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telefonică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dedicată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numărul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telefon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0262215046</w:t>
      </w:r>
      <w:r w:rsidRPr="00BE51F6">
        <w:rPr>
          <w:rFonts w:ascii="Times New Roman" w:hAnsi="Times New Roman" w:cs="Times New Roman"/>
          <w:sz w:val="28"/>
          <w:szCs w:val="28"/>
        </w:rPr>
        <w:t xml:space="preserve">, de Luni-Joi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intervalul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orar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08.00-</w:t>
      </w:r>
      <w:r>
        <w:rPr>
          <w:rFonts w:ascii="Times New Roman" w:hAnsi="Times New Roman" w:cs="Times New Roman"/>
          <w:sz w:val="28"/>
          <w:szCs w:val="28"/>
        </w:rPr>
        <w:t>17</w:t>
      </w:r>
      <w:r w:rsidRPr="00BE51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Vineri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intervalul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orar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08.00-14.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E51F6">
        <w:rPr>
          <w:rFonts w:ascii="Times New Roman" w:hAnsi="Times New Roman" w:cs="Times New Roman"/>
          <w:sz w:val="28"/>
          <w:szCs w:val="28"/>
        </w:rPr>
        <w:t xml:space="preserve">0. </w:t>
      </w:r>
    </w:p>
    <w:p w14:paraId="6B58E179" w14:textId="77777777" w:rsidR="00BE51F6" w:rsidRDefault="00BE51F6" w:rsidP="00BE51F6">
      <w:pPr>
        <w:tabs>
          <w:tab w:val="num" w:pos="720"/>
        </w:tabs>
        <w:rPr>
          <w:rFonts w:ascii="Times New Roman" w:hAnsi="Times New Roman" w:cs="Times New Roman"/>
          <w:sz w:val="28"/>
          <w:szCs w:val="28"/>
        </w:rPr>
      </w:pPr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d)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prin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întâlnire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față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față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cu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persoana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desemnată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>, </w:t>
      </w:r>
      <w:r w:rsidRPr="00BE51F6">
        <w:rPr>
          <w:rFonts w:ascii="Times New Roman" w:hAnsi="Times New Roman" w:cs="Times New Roman"/>
          <w:sz w:val="28"/>
          <w:szCs w:val="28"/>
        </w:rPr>
        <w:t xml:space="preserve">Camera 233,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Palatul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administrativ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Municipiul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Baia Mare, str. Gheorghe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Șincai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nr.46</w:t>
      </w:r>
    </w:p>
    <w:p w14:paraId="458A6FF1" w14:textId="5973C3BA" w:rsidR="00BE51F6" w:rsidRPr="00BE51F6" w:rsidRDefault="00BE51F6" w:rsidP="00BE51F6">
      <w:pPr>
        <w:tabs>
          <w:tab w:val="num" w:pos="720"/>
        </w:tabs>
        <w:rPr>
          <w:rFonts w:ascii="Times New Roman" w:hAnsi="Times New Roman" w:cs="Times New Roman"/>
          <w:b/>
          <w:bCs/>
          <w:sz w:val="28"/>
          <w:szCs w:val="28"/>
        </w:rPr>
      </w:pPr>
      <w:r w:rsidRPr="00BE51F6">
        <w:rPr>
          <w:rFonts w:ascii="Times New Roman" w:hAnsi="Times New Roman" w:cs="Times New Roman"/>
          <w:b/>
          <w:bCs/>
          <w:sz w:val="28"/>
          <w:szCs w:val="28"/>
        </w:rPr>
        <w:t>2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Persoana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desemnată</w:t>
      </w:r>
      <w:proofErr w:type="spellEnd"/>
    </w:p>
    <w:p w14:paraId="6AF539D4" w14:textId="50402384" w:rsidR="00BE51F6" w:rsidRPr="00BE51F6" w:rsidRDefault="00BE51F6" w:rsidP="00BE51F6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desemnată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atribuții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privește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primirea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înregistrarea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examinarea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informațiilor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referitoare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la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încălcări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ale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legii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acțiuni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subsecvente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soluționarea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raportărilor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cadrul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Direcției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Agricultură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Județeană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Maramureș</w:t>
      </w:r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> 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doamna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Stenczel Daniela</w:t>
      </w:r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consilier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juridic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în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cadrul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Direcției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pentru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Agricultură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b/>
          <w:bCs/>
          <w:sz w:val="28"/>
          <w:szCs w:val="28"/>
        </w:rPr>
        <w:t>Județeană</w:t>
      </w:r>
      <w:proofErr w:type="spellEnd"/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 Maramureș</w:t>
      </w:r>
      <w:r w:rsidRPr="00BE51F6">
        <w:rPr>
          <w:rFonts w:ascii="Times New Roman" w:hAnsi="Times New Roman" w:cs="Times New Roman"/>
          <w:sz w:val="28"/>
          <w:szCs w:val="28"/>
        </w:rPr>
        <w:t>.</w:t>
      </w:r>
      <w:r w:rsidRPr="00BE51F6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Persoana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desemnată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are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obligația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protejeze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confidențialitatea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identității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avertizorului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interes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public (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persoanele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care transmit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informațiilor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încălcări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oricărei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părți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terțe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menționate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împiedice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accesul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raportare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personalului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neautorizat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acționeze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imparțialitate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fiind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independent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exercitarea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acestor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atribuții</w:t>
      </w:r>
      <w:proofErr w:type="spellEnd"/>
    </w:p>
    <w:p w14:paraId="2A2A5FA1" w14:textId="673DD836" w:rsidR="00BE51F6" w:rsidRPr="00BE51F6" w:rsidRDefault="00BE51F6" w:rsidP="00B3724D">
      <w:pPr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BE51F6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Pr="00BE51F6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hyperlink r:id="rId5" w:tgtFrame="_blank" w:history="1">
        <w:proofErr w:type="spellStart"/>
        <w:r w:rsidRPr="00BE51F6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Legislație</w:t>
        </w:r>
        <w:proofErr w:type="spellEnd"/>
        <w:r w:rsidRPr="00BE51F6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 xml:space="preserve"> - </w:t>
        </w:r>
        <w:proofErr w:type="spellStart"/>
        <w:r w:rsidRPr="00BE51F6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Legea</w:t>
        </w:r>
        <w:proofErr w:type="spellEnd"/>
        <w:r w:rsidRPr="00BE51F6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 xml:space="preserve"> nr.361/2022 </w:t>
        </w:r>
        <w:proofErr w:type="spellStart"/>
        <w:r w:rsidRPr="00BE51F6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privind</w:t>
        </w:r>
        <w:proofErr w:type="spellEnd"/>
        <w:r w:rsidRPr="00BE51F6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  <w:proofErr w:type="spellStart"/>
        <w:r w:rsidRPr="00BE51F6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protecția</w:t>
        </w:r>
        <w:proofErr w:type="spellEnd"/>
        <w:r w:rsidRPr="00BE51F6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  <w:proofErr w:type="spellStart"/>
        <w:r w:rsidRPr="00BE51F6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avertizorilor</w:t>
        </w:r>
        <w:proofErr w:type="spellEnd"/>
        <w:r w:rsidRPr="00BE51F6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  <w:proofErr w:type="spellStart"/>
        <w:r w:rsidRPr="00BE51F6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în</w:t>
        </w:r>
        <w:proofErr w:type="spellEnd"/>
        <w:r w:rsidRPr="00BE51F6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 xml:space="preserve"> </w:t>
        </w:r>
        <w:proofErr w:type="spellStart"/>
        <w:r w:rsidRPr="00BE51F6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>interes</w:t>
        </w:r>
        <w:proofErr w:type="spellEnd"/>
        <w:r w:rsidRPr="00BE51F6">
          <w:rPr>
            <w:rStyle w:val="Hyperlink"/>
            <w:rFonts w:ascii="Times New Roman" w:hAnsi="Times New Roman" w:cs="Times New Roman"/>
            <w:b/>
            <w:bCs/>
            <w:sz w:val="28"/>
            <w:szCs w:val="28"/>
          </w:rPr>
          <w:t xml:space="preserve"> public</w:t>
        </w:r>
      </w:hyperlink>
    </w:p>
    <w:p w14:paraId="36A3729D" w14:textId="77777777" w:rsidR="00BE51F6" w:rsidRPr="00BE51F6" w:rsidRDefault="00BE51F6" w:rsidP="00BE51F6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BE51F6">
        <w:rPr>
          <w:rFonts w:ascii="Times New Roman" w:hAnsi="Times New Roman" w:cs="Times New Roman"/>
          <w:sz w:val="28"/>
          <w:szCs w:val="28"/>
        </w:rPr>
        <w:t>Încălcări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, conform art.3 pct.1 din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nr.361/2022,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fapte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constau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într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-o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acțiune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inacțiune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constituie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nerespectări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dispozițiilor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privesc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domenii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cum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fi:</w:t>
      </w:r>
      <w:r w:rsidRPr="00BE51F6">
        <w:rPr>
          <w:rFonts w:ascii="Times New Roman" w:hAnsi="Times New Roman" w:cs="Times New Roman"/>
          <w:sz w:val="28"/>
          <w:szCs w:val="28"/>
        </w:rPr>
        <w:br/>
      </w:r>
      <w:r w:rsidRPr="00BE51F6">
        <w:rPr>
          <w:rFonts w:ascii="Times New Roman" w:hAnsi="Times New Roman" w:cs="Times New Roman"/>
          <w:sz w:val="28"/>
          <w:szCs w:val="28"/>
        </w:rPr>
        <w:lastRenderedPageBreak/>
        <w:t xml:space="preserve">•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achizițiile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>;</w:t>
      </w:r>
      <w:r w:rsidRPr="00BE51F6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serviciile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produsele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piețele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, precum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prevenirea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spălării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banilor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finanțării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terorismului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>;</w:t>
      </w:r>
      <w:r w:rsidRPr="00BE51F6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siguranța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conformitatea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produselor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>;</w:t>
      </w:r>
      <w:r w:rsidRPr="00BE51F6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siguranța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transportului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>;</w:t>
      </w:r>
      <w:r w:rsidRPr="00BE51F6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mediului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>;</w:t>
      </w:r>
      <w:r w:rsidRPr="00BE51F6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radiologică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siguranța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nucleară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>;</w:t>
      </w:r>
      <w:r w:rsidRPr="00BE51F6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siguranța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alimentelor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hranei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animale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sănătatea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bunăstarea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animalelor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>;</w:t>
      </w:r>
      <w:r w:rsidRPr="00BE51F6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sănătatea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>;</w:t>
      </w:r>
      <w:r w:rsidRPr="00BE51F6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consumatorilor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>;</w:t>
      </w:r>
      <w:r w:rsidRPr="00BE51F6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protecția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vieții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private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datelor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caracter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personal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securității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rețelelor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sistemelor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informatice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prevăzute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anexa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nr. 2 la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Legea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nr.361/2022,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încălcări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aduc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atingere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intereselor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financiare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Uniunii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astfel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cum sunt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menționate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la art.325 din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Tratatul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funcționarea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Uniunii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cum sunt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detaliate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măsurile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relevante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Uniunii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>;</w:t>
      </w:r>
      <w:r w:rsidRPr="00BE51F6">
        <w:rPr>
          <w:rFonts w:ascii="Times New Roman" w:hAnsi="Times New Roman" w:cs="Times New Roman"/>
          <w:sz w:val="28"/>
          <w:szCs w:val="28"/>
        </w:rPr>
        <w:br/>
        <w:t xml:space="preserve">•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încălcări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piața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internă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menționate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la art. 26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alin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. (2) din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Tratatul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funcționarea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Uniunii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inclusiv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încălcări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normelor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Uniunii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materie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concurență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ajutoare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de stat, precum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încălcări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referitoare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piața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internă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ceea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privește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actele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încalcă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normele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privind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impozitarea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societăților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mecanismele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căror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scop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este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obținerea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unui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avantaj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fiscal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contravine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obiectului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scopului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dreptului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aplicabil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materie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impozitare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societăților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ce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reprezintă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abateri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disciplinare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contravenții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infracțiuni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contravin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obiectului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scopului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E51F6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BE51F6">
        <w:rPr>
          <w:rFonts w:ascii="Times New Roman" w:hAnsi="Times New Roman" w:cs="Times New Roman"/>
          <w:sz w:val="28"/>
          <w:szCs w:val="28"/>
        </w:rPr>
        <w:t>.</w:t>
      </w:r>
    </w:p>
    <w:p w14:paraId="469CBCF9" w14:textId="77777777" w:rsidR="009971E1" w:rsidRPr="00BE51F6" w:rsidRDefault="009971E1">
      <w:pPr>
        <w:rPr>
          <w:rFonts w:ascii="Times New Roman" w:hAnsi="Times New Roman" w:cs="Times New Roman"/>
          <w:sz w:val="28"/>
          <w:szCs w:val="28"/>
        </w:rPr>
      </w:pPr>
    </w:p>
    <w:sectPr w:rsidR="009971E1" w:rsidRPr="00BE5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BC1E97"/>
    <w:multiLevelType w:val="multilevel"/>
    <w:tmpl w:val="9C085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107655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7E7"/>
    <w:rsid w:val="000A57E7"/>
    <w:rsid w:val="005108F5"/>
    <w:rsid w:val="009971E1"/>
    <w:rsid w:val="00BE5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AB0814"/>
  <w15:chartTrackingRefBased/>
  <w15:docId w15:val="{B114AA22-5AAC-4180-892E-BDD31F2123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E51F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51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6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24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5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44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535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8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65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0326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0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7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683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36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legislatie.just.ro/Public/DetaliiDocument/2628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XTR-4</dc:creator>
  <cp:keywords/>
  <dc:description/>
  <cp:lastModifiedBy>XTR-4</cp:lastModifiedBy>
  <cp:revision>2</cp:revision>
  <cp:lastPrinted>2023-11-28T12:04:00Z</cp:lastPrinted>
  <dcterms:created xsi:type="dcterms:W3CDTF">2023-11-28T11:33:00Z</dcterms:created>
  <dcterms:modified xsi:type="dcterms:W3CDTF">2023-11-28T12:14:00Z</dcterms:modified>
</cp:coreProperties>
</file>